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192F9A">
        <w:rPr>
          <w:sz w:val="28"/>
          <w:szCs w:val="28"/>
        </w:rPr>
        <w:t>86MS0035-01-2024-005992-48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192F9A">
        <w:rPr>
          <w:sz w:val="28"/>
          <w:szCs w:val="28"/>
        </w:rPr>
        <w:t>05-1066/1802/2024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20 ноября 2024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г. 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 </w:t>
      </w:r>
    </w:p>
    <w:p w:rsidR="00D66B30" w:rsidRPr="00B01846" w:rsidP="00EB44E2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192F9A">
        <w:rPr>
          <w:sz w:val="28"/>
          <w:szCs w:val="28"/>
        </w:rPr>
        <w:t>Габдрахимова Фарита Фидаевича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C22801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Габдрахимов Ф.Ф.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18810586240715038499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15.07.2024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A215B2" w:rsidR="00A215B2">
        <w:rPr>
          <w:iCs/>
          <w:color w:val="FF0000"/>
          <w:spacing w:val="-3"/>
          <w:sz w:val="28"/>
          <w:szCs w:val="28"/>
        </w:rPr>
        <w:t>500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18.08.2024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Габдрахимов Ф.Ф.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C22801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>, Лангепас г, Ханты-Мансийский Автономный округ - Югра АО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17.10.2024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192F9A">
        <w:rPr>
          <w:iCs/>
          <w:color w:val="000000"/>
          <w:sz w:val="28"/>
          <w:szCs w:val="28"/>
        </w:rPr>
        <w:t>Габдрахимов Ф.Ф.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192F9A">
        <w:rPr>
          <w:iCs/>
          <w:color w:val="000000"/>
          <w:sz w:val="28"/>
          <w:szCs w:val="28"/>
        </w:rPr>
        <w:t>Габдрахимова Ф.Ф.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5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192F9A">
        <w:rPr>
          <w:sz w:val="28"/>
          <w:szCs w:val="28"/>
        </w:rPr>
        <w:t>86хм485690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192F9A">
        <w:rPr>
          <w:iCs/>
          <w:color w:val="000000"/>
          <w:sz w:val="28"/>
          <w:szCs w:val="28"/>
        </w:rPr>
        <w:t>18810586240715038499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192F9A">
        <w:rPr>
          <w:iCs/>
          <w:color w:val="000000"/>
          <w:sz w:val="28"/>
          <w:szCs w:val="28"/>
        </w:rPr>
        <w:t>15.07.2024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</w:t>
      </w:r>
      <w:r w:rsidR="00303B4D">
        <w:rPr>
          <w:iCs/>
          <w:color w:val="000000"/>
          <w:sz w:val="28"/>
          <w:szCs w:val="28"/>
        </w:rPr>
        <w:t xml:space="preserve">почтовой связи о направлении </w:t>
      </w:r>
      <w:r w:rsidR="00192F9A">
        <w:rPr>
          <w:iCs/>
          <w:color w:val="000000"/>
          <w:sz w:val="28"/>
          <w:szCs w:val="28"/>
        </w:rPr>
        <w:t xml:space="preserve">Габдрахимову Ф.Ф. </w:t>
      </w:r>
      <w:r w:rsidR="00303B4D">
        <w:rPr>
          <w:iCs/>
          <w:color w:val="000000"/>
          <w:sz w:val="28"/>
          <w:szCs w:val="28"/>
        </w:rPr>
        <w:t xml:space="preserve">копии постановления по делу об административном правонарушении; данными «ФБД адмпрактика»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E05839" w:rsidP="00EB44E2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E05839">
        <w:rPr>
          <w:color w:val="000000"/>
          <w:spacing w:val="-4"/>
          <w:sz w:val="28"/>
          <w:szCs w:val="28"/>
        </w:rPr>
        <w:t xml:space="preserve">Бездействие </w:t>
      </w:r>
      <w:r w:rsidR="00192F9A">
        <w:rPr>
          <w:iCs/>
          <w:color w:val="000000"/>
          <w:sz w:val="28"/>
          <w:szCs w:val="28"/>
        </w:rPr>
        <w:t xml:space="preserve">Габдрахимова Ф.Ф. </w:t>
      </w:r>
      <w:r w:rsidRPr="00E05839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B61E75" w:rsidP="00EB44E2">
      <w:pPr>
        <w:shd w:val="clear" w:color="auto" w:fill="FFFFFF"/>
        <w:tabs>
          <w:tab w:val="left" w:pos="7513"/>
        </w:tabs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Габдрахимова Фарита Фидаевича</w:t>
      </w:r>
      <w:r w:rsidRPr="00B61E75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л/сч.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192F9A">
        <w:rPr>
          <w:sz w:val="28"/>
          <w:szCs w:val="28"/>
        </w:rPr>
        <w:t>0412365400355010662420104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Лангепасский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6C01B4" w:rsidP="006C01B4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</w:t>
      </w:r>
    </w:p>
    <w:sectPr w:rsidSect="00FB0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2F9A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6058F4"/>
    <w:rsid w:val="00614EA6"/>
    <w:rsid w:val="00631F8D"/>
    <w:rsid w:val="006331E3"/>
    <w:rsid w:val="00636B33"/>
    <w:rsid w:val="00651F68"/>
    <w:rsid w:val="006A2FD4"/>
    <w:rsid w:val="006B368C"/>
    <w:rsid w:val="006C01B4"/>
    <w:rsid w:val="006F220C"/>
    <w:rsid w:val="0071240F"/>
    <w:rsid w:val="00717EEC"/>
    <w:rsid w:val="007432DE"/>
    <w:rsid w:val="00754B91"/>
    <w:rsid w:val="007570F5"/>
    <w:rsid w:val="007666D9"/>
    <w:rsid w:val="00776432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22801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651CF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B7DAF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4313278-FD3D-4606-B5FC-1F7CD5A8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70C5-9AE8-47E5-886C-D8D0552B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